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>ул. Белоостровкая,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F6C8A" w:rsidRPr="001F6C8A" w:rsidRDefault="001F6C8A" w:rsidP="001F6C8A">
            <w:pPr>
              <w:spacing w:line="240" w:lineRule="auto"/>
              <w:jc w:val="center"/>
              <w:rPr>
                <w:b/>
                <w:kern w:val="1"/>
                <w:lang w:eastAsia="ar-SA"/>
              </w:rPr>
            </w:pPr>
            <w:r w:rsidRPr="001F6C8A">
              <w:rPr>
                <w:b/>
                <w:kern w:val="1"/>
                <w:lang w:eastAsia="ar-SA"/>
              </w:rPr>
              <w:t>«УТВЕРЖДАЮ»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Председатель закупочной комиссии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ЛОКП «Ленобллесхоз»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              __________________/Евтушенко В.С./ 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(доверенность б/н от 28.05.2015 г.) </w:t>
            </w:r>
          </w:p>
          <w:p w:rsidR="001F6C8A" w:rsidRPr="001F6C8A" w:rsidRDefault="004C5AAC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«06</w:t>
            </w:r>
            <w:r w:rsidR="00B01716">
              <w:rPr>
                <w:kern w:val="1"/>
                <w:lang w:eastAsia="ar-SA"/>
              </w:rPr>
              <w:t>» но</w:t>
            </w:r>
            <w:r w:rsidR="001F6C8A" w:rsidRPr="001F6C8A">
              <w:rPr>
                <w:kern w:val="1"/>
                <w:lang w:eastAsia="ar-SA"/>
              </w:rPr>
              <w:t>ября 2015 г.</w:t>
            </w:r>
          </w:p>
          <w:p w:rsidR="0017407A" w:rsidRPr="007905CA" w:rsidRDefault="0017407A" w:rsidP="007905CA">
            <w:pPr>
              <w:spacing w:after="0" w:line="240" w:lineRule="auto"/>
              <w:jc w:val="center"/>
            </w:pP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4C5AAC" w:rsidP="004C1935">
            <w:pPr>
              <w:spacing w:after="0"/>
              <w:jc w:val="lef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06</w:t>
            </w:r>
            <w:r w:rsidR="00B01716">
              <w:rPr>
                <w:i/>
                <w:color w:val="0070C0"/>
              </w:rPr>
              <w:t>.11</w:t>
            </w:r>
            <w:r w:rsidR="0063613D" w:rsidRPr="007905CA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B01716" w:rsidP="007905CA">
            <w:pPr>
              <w:spacing w:before="40" w:after="40"/>
              <w:jc w:val="left"/>
              <w:rPr>
                <w:color w:val="000000"/>
              </w:rPr>
            </w:pPr>
            <w:r w:rsidRPr="00B01716">
              <w:rPr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r w:rsidR="007905CA" w:rsidRPr="007905CA">
              <w:t>Колова Е.Е.</w:t>
            </w:r>
          </w:p>
        </w:tc>
        <w:bookmarkStart w:id="0" w:name="_GoBack"/>
        <w:bookmarkEnd w:id="0"/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B01716" w:rsidP="007905CA">
            <w:pPr>
              <w:spacing w:before="40" w:after="40"/>
              <w:jc w:val="left"/>
              <w:rPr>
                <w:color w:val="000000"/>
              </w:rPr>
            </w:pPr>
            <w:r w:rsidRPr="00B01716">
              <w:rPr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B01716" w:rsidP="007905CA">
            <w:pPr>
              <w:spacing w:before="40" w:after="40"/>
              <w:jc w:val="left"/>
              <w:rPr>
                <w:color w:val="000000"/>
              </w:rPr>
            </w:pPr>
            <w:r w:rsidRPr="00B01716">
              <w:t>16 942 447 (Шестнадцать  миллионов девятьсот сорок две  тысячи четыреста сорок семь) Российских рублей, 08 коп.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B01716" w:rsidP="00493DE4">
            <w:pPr>
              <w:spacing w:after="0"/>
              <w:jc w:val="left"/>
            </w:pPr>
            <w:r>
              <w:t>2</w:t>
            </w:r>
            <w:r w:rsidR="007905CA" w:rsidRPr="007905CA">
              <w:t xml:space="preserve"> % от начальной (максимальной) цены</w:t>
            </w:r>
            <w:r w:rsidR="0078386E">
              <w:t xml:space="preserve"> Договора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905CA" w:rsidRDefault="00B01716" w:rsidP="004C1935">
            <w:pPr>
              <w:spacing w:after="0"/>
              <w:jc w:val="left"/>
            </w:pPr>
            <w:r w:rsidRPr="00B01716">
              <w:t>09.11.2015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7905CA" w:rsidRDefault="00B01716" w:rsidP="007905CA">
            <w:pPr>
              <w:spacing w:before="40" w:after="40"/>
              <w:jc w:val="left"/>
            </w:pPr>
            <w:r w:rsidRPr="00B01716">
              <w:t>30.11.2015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B01716" w:rsidRDefault="00B01716" w:rsidP="007905CA">
            <w:pPr>
              <w:spacing w:before="40" w:after="40"/>
              <w:jc w:val="left"/>
            </w:pPr>
            <w:r w:rsidRPr="00B01716">
              <w:t>01.12.2015 г. 10-00</w:t>
            </w:r>
          </w:p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B01716" w:rsidRDefault="00B01716" w:rsidP="007905CA">
            <w:pPr>
              <w:spacing w:before="40" w:after="40"/>
              <w:jc w:val="left"/>
            </w:pPr>
            <w:r w:rsidRPr="00B01716">
              <w:t>02.12.2015 г. 13-00</w:t>
            </w:r>
          </w:p>
          <w:p w:rsidR="007905CA" w:rsidRPr="007905CA" w:rsidRDefault="007905CA" w:rsidP="007905CA">
            <w:pPr>
              <w:spacing w:before="40" w:after="40"/>
              <w:jc w:val="left"/>
              <w:rPr>
                <w:highlight w:val="yellow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/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2A" w:rsidRDefault="00104D2A" w:rsidP="00B24540">
      <w:pPr>
        <w:spacing w:after="0" w:line="240" w:lineRule="auto"/>
      </w:pPr>
      <w:r>
        <w:separator/>
      </w:r>
    </w:p>
  </w:endnote>
  <w:endnote w:type="continuationSeparator" w:id="0">
    <w:p w:rsidR="00104D2A" w:rsidRDefault="00104D2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C5AA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C5AAC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2A" w:rsidRDefault="00104D2A" w:rsidP="00B24540">
      <w:pPr>
        <w:spacing w:after="0" w:line="240" w:lineRule="auto"/>
      </w:pPr>
      <w:r>
        <w:separator/>
      </w:r>
    </w:p>
  </w:footnote>
  <w:footnote w:type="continuationSeparator" w:id="0">
    <w:p w:rsidR="00104D2A" w:rsidRDefault="00104D2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E1E27"/>
    <w:rsid w:val="00104D2A"/>
    <w:rsid w:val="00161B56"/>
    <w:rsid w:val="0017407A"/>
    <w:rsid w:val="00187726"/>
    <w:rsid w:val="001F6C8A"/>
    <w:rsid w:val="00225F7D"/>
    <w:rsid w:val="00247BD5"/>
    <w:rsid w:val="00266CD3"/>
    <w:rsid w:val="002A40BE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50595"/>
    <w:rsid w:val="00461596"/>
    <w:rsid w:val="0049228D"/>
    <w:rsid w:val="00493DE4"/>
    <w:rsid w:val="004C1935"/>
    <w:rsid w:val="004C5AAC"/>
    <w:rsid w:val="004C5EAA"/>
    <w:rsid w:val="004D01A7"/>
    <w:rsid w:val="004E5E42"/>
    <w:rsid w:val="005547C9"/>
    <w:rsid w:val="005D40B9"/>
    <w:rsid w:val="005E33DC"/>
    <w:rsid w:val="005F6640"/>
    <w:rsid w:val="00600F6A"/>
    <w:rsid w:val="00611E26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07D42"/>
    <w:rsid w:val="00947150"/>
    <w:rsid w:val="00982208"/>
    <w:rsid w:val="009B6E2E"/>
    <w:rsid w:val="009C4FFC"/>
    <w:rsid w:val="009E0EA5"/>
    <w:rsid w:val="00A10AAE"/>
    <w:rsid w:val="00A20007"/>
    <w:rsid w:val="00A60F02"/>
    <w:rsid w:val="00AB2FEB"/>
    <w:rsid w:val="00AF72DD"/>
    <w:rsid w:val="00B01716"/>
    <w:rsid w:val="00B24540"/>
    <w:rsid w:val="00B30614"/>
    <w:rsid w:val="00BF4D78"/>
    <w:rsid w:val="00C70771"/>
    <w:rsid w:val="00C91D08"/>
    <w:rsid w:val="00D03304"/>
    <w:rsid w:val="00D54FB5"/>
    <w:rsid w:val="00D67D92"/>
    <w:rsid w:val="00D75425"/>
    <w:rsid w:val="00D8628B"/>
    <w:rsid w:val="00DE1173"/>
    <w:rsid w:val="00E060A7"/>
    <w:rsid w:val="00E24260"/>
    <w:rsid w:val="00E26E24"/>
    <w:rsid w:val="00E5418C"/>
    <w:rsid w:val="00E6708F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E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4428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34</cp:revision>
  <cp:lastPrinted>2015-10-30T10:18:00Z</cp:lastPrinted>
  <dcterms:created xsi:type="dcterms:W3CDTF">2012-04-06T12:12:00Z</dcterms:created>
  <dcterms:modified xsi:type="dcterms:W3CDTF">2015-11-06T14:58:00Z</dcterms:modified>
</cp:coreProperties>
</file>