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655016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_______________/Евтушенко В.С./ 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(доверенность б/н от 28.05.2015 г.) </w:t>
            </w:r>
          </w:p>
          <w:p w:rsidR="0017407A" w:rsidRPr="00643F7E" w:rsidRDefault="00D84219" w:rsidP="00EE0D7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lang w:eastAsia="ar-SA"/>
              </w:rPr>
              <w:t xml:space="preserve">                          «14</w:t>
            </w:r>
            <w:r w:rsidR="003727DB">
              <w:rPr>
                <w:lang w:eastAsia="ar-SA"/>
              </w:rPr>
              <w:t>» дека</w:t>
            </w:r>
            <w:r w:rsidR="00EE0D76">
              <w:rPr>
                <w:lang w:eastAsia="ar-SA"/>
              </w:rPr>
              <w:t>бря 2015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1A0C31" w:rsidP="00EE0D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</w:t>
            </w:r>
            <w:r w:rsidR="00D84219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4</w:t>
            </w:r>
            <w:r w:rsidR="003727DB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.12</w:t>
            </w:r>
            <w:r w:rsidR="00EE0D76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</w:t>
            </w:r>
            <w:r w:rsidR="0063613D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2015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4F6876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6876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10 кВ в филиале ПАО «Ленэнерго» ГтЭС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A179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292-42-75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Иванова О.А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7726" w:rsidRPr="0017407A" w:rsidRDefault="00187726" w:rsidP="00A179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Колова 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4F6876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4F6876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10 кВ в филиале ПАО «Ленэнерго» ГтЭС</w:t>
            </w:r>
          </w:p>
        </w:tc>
        <w:bookmarkStart w:id="0" w:name="_GoBack"/>
        <w:bookmarkEnd w:id="0"/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4F6876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F6876">
              <w:rPr>
                <w:rFonts w:asciiTheme="minorHAnsi" w:hAnsiTheme="minorHAnsi" w:cstheme="minorHAnsi"/>
                <w:sz w:val="20"/>
                <w:szCs w:val="20"/>
              </w:rPr>
              <w:t>2 908 033 (Два миллиона девятьсот восемь  тысяч тридцать три ) Российских рубля, 00 копеек.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3727D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1A0C31" w:rsidRPr="0017407A" w:rsidTr="002E515E">
        <w:trPr>
          <w:trHeight w:val="81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D84219" w:rsidP="001A0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A0C31" w:rsidRPr="001A0C31">
              <w:rPr>
                <w:sz w:val="18"/>
                <w:szCs w:val="18"/>
              </w:rPr>
              <w:t>.12.2015 г. с 09-00</w:t>
            </w:r>
          </w:p>
        </w:tc>
      </w:tr>
      <w:tr w:rsidR="001A0C31" w:rsidRPr="0017407A" w:rsidTr="002E515E">
        <w:trPr>
          <w:trHeight w:val="85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D84219" w:rsidP="001A0C31">
            <w:pPr>
              <w:rPr>
                <w:sz w:val="18"/>
                <w:szCs w:val="18"/>
              </w:rPr>
            </w:pPr>
            <w:r w:rsidRPr="00D84219">
              <w:rPr>
                <w:sz w:val="18"/>
                <w:szCs w:val="18"/>
              </w:rPr>
              <w:t>25.12.2015 г. до 10-00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D84219" w:rsidRDefault="00D84219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84219">
              <w:rPr>
                <w:rFonts w:ascii="Calibri" w:hAnsi="Calibri" w:cs="Calibri"/>
                <w:sz w:val="20"/>
                <w:szCs w:val="20"/>
              </w:rPr>
              <w:t>28.12.2015 г. 10-00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A0C31" w:rsidRDefault="00D84219" w:rsidP="003A250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1A0C31" w:rsidRPr="001A0C31">
              <w:rPr>
                <w:rFonts w:ascii="Calibri" w:hAnsi="Calibri" w:cs="Calibri"/>
                <w:sz w:val="20"/>
                <w:szCs w:val="20"/>
              </w:rPr>
              <w:t>.12.2015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46" w:rsidRDefault="002D5846" w:rsidP="00B24540">
      <w:pPr>
        <w:spacing w:after="0" w:line="240" w:lineRule="auto"/>
      </w:pPr>
      <w:r>
        <w:separator/>
      </w:r>
    </w:p>
  </w:endnote>
  <w:endnote w:type="continuationSeparator" w:id="0">
    <w:p w:rsidR="002D5846" w:rsidRDefault="002D5846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F6876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F6876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46" w:rsidRDefault="002D5846" w:rsidP="00B24540">
      <w:pPr>
        <w:spacing w:after="0" w:line="240" w:lineRule="auto"/>
      </w:pPr>
      <w:r>
        <w:separator/>
      </w:r>
    </w:p>
  </w:footnote>
  <w:footnote w:type="continuationSeparator" w:id="0">
    <w:p w:rsidR="002D5846" w:rsidRDefault="002D5846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645"/>
    <w:rsid w:val="000175FE"/>
    <w:rsid w:val="00043B97"/>
    <w:rsid w:val="0006444E"/>
    <w:rsid w:val="0007235A"/>
    <w:rsid w:val="00074B3B"/>
    <w:rsid w:val="000B1C43"/>
    <w:rsid w:val="000B77FE"/>
    <w:rsid w:val="001341BC"/>
    <w:rsid w:val="00161B56"/>
    <w:rsid w:val="0016235E"/>
    <w:rsid w:val="0017407A"/>
    <w:rsid w:val="00187726"/>
    <w:rsid w:val="00187A4C"/>
    <w:rsid w:val="001A0C31"/>
    <w:rsid w:val="001D4C24"/>
    <w:rsid w:val="001D7B7F"/>
    <w:rsid w:val="002077C2"/>
    <w:rsid w:val="00247BD5"/>
    <w:rsid w:val="002573E4"/>
    <w:rsid w:val="00266CD3"/>
    <w:rsid w:val="002D5846"/>
    <w:rsid w:val="002F227C"/>
    <w:rsid w:val="00303798"/>
    <w:rsid w:val="00371A91"/>
    <w:rsid w:val="003727DB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4F6876"/>
    <w:rsid w:val="00511ADD"/>
    <w:rsid w:val="00523817"/>
    <w:rsid w:val="005547C9"/>
    <w:rsid w:val="005B7722"/>
    <w:rsid w:val="005D40B9"/>
    <w:rsid w:val="005D4B30"/>
    <w:rsid w:val="005E33DC"/>
    <w:rsid w:val="005F6640"/>
    <w:rsid w:val="00600F6A"/>
    <w:rsid w:val="006120CA"/>
    <w:rsid w:val="00612959"/>
    <w:rsid w:val="00623B4E"/>
    <w:rsid w:val="00627D36"/>
    <w:rsid w:val="0063613D"/>
    <w:rsid w:val="00636E88"/>
    <w:rsid w:val="0064684F"/>
    <w:rsid w:val="00655016"/>
    <w:rsid w:val="00697B31"/>
    <w:rsid w:val="006D33B2"/>
    <w:rsid w:val="006E60D4"/>
    <w:rsid w:val="00705328"/>
    <w:rsid w:val="00710BC2"/>
    <w:rsid w:val="007116BB"/>
    <w:rsid w:val="00724BF2"/>
    <w:rsid w:val="00742C11"/>
    <w:rsid w:val="0078215C"/>
    <w:rsid w:val="00795C77"/>
    <w:rsid w:val="007F256B"/>
    <w:rsid w:val="00864CDF"/>
    <w:rsid w:val="00875F84"/>
    <w:rsid w:val="00884CE0"/>
    <w:rsid w:val="008B5B36"/>
    <w:rsid w:val="00982208"/>
    <w:rsid w:val="009B6E2E"/>
    <w:rsid w:val="009C4FFC"/>
    <w:rsid w:val="009E0EA5"/>
    <w:rsid w:val="00A179EC"/>
    <w:rsid w:val="00A20007"/>
    <w:rsid w:val="00A26A8A"/>
    <w:rsid w:val="00A60F02"/>
    <w:rsid w:val="00AD3295"/>
    <w:rsid w:val="00AF72DD"/>
    <w:rsid w:val="00B24540"/>
    <w:rsid w:val="00B30614"/>
    <w:rsid w:val="00B50D33"/>
    <w:rsid w:val="00B55D8E"/>
    <w:rsid w:val="00B86C01"/>
    <w:rsid w:val="00BF4D78"/>
    <w:rsid w:val="00C70771"/>
    <w:rsid w:val="00C90395"/>
    <w:rsid w:val="00C91D08"/>
    <w:rsid w:val="00CA3E68"/>
    <w:rsid w:val="00CF231F"/>
    <w:rsid w:val="00CF2967"/>
    <w:rsid w:val="00D3495A"/>
    <w:rsid w:val="00D54FB5"/>
    <w:rsid w:val="00D67D92"/>
    <w:rsid w:val="00D75425"/>
    <w:rsid w:val="00D84219"/>
    <w:rsid w:val="00D8628B"/>
    <w:rsid w:val="00D93CD8"/>
    <w:rsid w:val="00DE1173"/>
    <w:rsid w:val="00DE469B"/>
    <w:rsid w:val="00E060A7"/>
    <w:rsid w:val="00E24260"/>
    <w:rsid w:val="00E309A8"/>
    <w:rsid w:val="00E705C8"/>
    <w:rsid w:val="00EE0D76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1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4351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40</cp:revision>
  <cp:lastPrinted>2015-12-11T13:09:00Z</cp:lastPrinted>
  <dcterms:created xsi:type="dcterms:W3CDTF">2012-04-06T12:12:00Z</dcterms:created>
  <dcterms:modified xsi:type="dcterms:W3CDTF">2015-12-14T14:39:00Z</dcterms:modified>
</cp:coreProperties>
</file>